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D4" w:rsidRPr="00243E4A" w:rsidRDefault="00065CD4" w:rsidP="00065CD4">
      <w:pPr>
        <w:tabs>
          <w:tab w:val="center" w:pos="3969"/>
          <w:tab w:val="right" w:pos="9072"/>
        </w:tabs>
        <w:jc w:val="center"/>
        <w:rPr>
          <w:rFonts w:ascii="Calibri" w:hAnsi="Calibri"/>
          <w:color w:val="0000FF"/>
          <w:szCs w:val="28"/>
          <w:lang w:val="ro-RO"/>
        </w:rPr>
      </w:pPr>
      <w:r>
        <w:rPr>
          <w:rFonts w:ascii="Calibri" w:hAnsi="Calibri" w:cs="Arial"/>
          <w:noProof/>
          <w:sz w:val="24"/>
          <w:lang w:eastAsia="en-US"/>
        </w:rPr>
        <w:drawing>
          <wp:anchor distT="0" distB="0" distL="114300" distR="114300" simplePos="0" relativeHeight="251660288" behindDoc="0" locked="0" layoutInCell="1" allowOverlap="1">
            <wp:simplePos x="0" y="0"/>
            <wp:positionH relativeFrom="margin">
              <wp:posOffset>53340</wp:posOffset>
            </wp:positionH>
            <wp:positionV relativeFrom="margin">
              <wp:posOffset>127635</wp:posOffset>
            </wp:positionV>
            <wp:extent cx="1132840" cy="1132840"/>
            <wp:effectExtent l="19050" t="0" r="0" b="0"/>
            <wp:wrapNone/>
            <wp:docPr id="6" name="Picture 10" descr="ONPCSB -color v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PCSB -color v17"/>
                    <pic:cNvPicPr>
                      <a:picLocks noChangeAspect="1" noChangeArrowheads="1"/>
                    </pic:cNvPicPr>
                  </pic:nvPicPr>
                  <pic:blipFill>
                    <a:blip r:embed="rId6" cstate="print"/>
                    <a:srcRect/>
                    <a:stretch>
                      <a:fillRect/>
                    </a:stretch>
                  </pic:blipFill>
                  <pic:spPr bwMode="auto">
                    <a:xfrm>
                      <a:off x="0" y="0"/>
                      <a:ext cx="1132840" cy="1132840"/>
                    </a:xfrm>
                    <a:prstGeom prst="rect">
                      <a:avLst/>
                    </a:prstGeom>
                    <a:noFill/>
                    <a:ln w="9525">
                      <a:noFill/>
                      <a:miter lim="800000"/>
                      <a:headEnd/>
                      <a:tailEnd/>
                    </a:ln>
                  </pic:spPr>
                </pic:pic>
              </a:graphicData>
            </a:graphic>
          </wp:anchor>
        </w:drawing>
      </w:r>
      <w:r w:rsidR="00B92412">
        <w:rPr>
          <w:rFonts w:ascii="Calibri" w:hAnsi="Calibri"/>
          <w:b/>
          <w:noProof/>
          <w:color w:val="0000FF"/>
          <w:szCs w:val="28"/>
          <w:lang w:eastAsia="en-US"/>
        </w:rPr>
        <mc:AlternateContent>
          <mc:Choice Requires="wps">
            <w:drawing>
              <wp:anchor distT="0" distB="0" distL="114300" distR="114300" simplePos="0" relativeHeight="251658240" behindDoc="0" locked="0" layoutInCell="1" allowOverlap="1">
                <wp:simplePos x="0" y="0"/>
                <wp:positionH relativeFrom="column">
                  <wp:posOffset>4881245</wp:posOffset>
                </wp:positionH>
                <wp:positionV relativeFrom="paragraph">
                  <wp:posOffset>127635</wp:posOffset>
                </wp:positionV>
                <wp:extent cx="1800225" cy="882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CD4" w:rsidRDefault="00065CD4" w:rsidP="00065CD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35pt;margin-top:10.05pt;width:141.75pt;height:6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" stroked="f">
                <v:textbox style="mso-fit-shape-to-text:t">
                  <w:txbxContent>
                    <w:p w:rsidR="00065CD4" w:rsidRDefault="00065CD4" w:rsidP="00065CD4"/>
                  </w:txbxContent>
                </v:textbox>
              </v:shape>
            </w:pict>
          </mc:Fallback>
        </mc:AlternateContent>
      </w:r>
      <w:r>
        <w:rPr>
          <w:rFonts w:ascii="Calibri" w:hAnsi="Calibri"/>
          <w:b/>
          <w:color w:val="0000FF"/>
          <w:szCs w:val="28"/>
          <w:lang w:val="ro-RO"/>
        </w:rPr>
        <w:t xml:space="preserve"> </w:t>
      </w:r>
      <w:r w:rsidR="00E32427">
        <w:rPr>
          <w:rFonts w:ascii="Calibri" w:hAnsi="Calibri"/>
          <w:b/>
          <w:color w:val="0000FF"/>
          <w:szCs w:val="28"/>
          <w:lang w:val="ro-RO"/>
        </w:rPr>
        <w:t>MINISTERUL FINAN</w:t>
      </w:r>
      <w:r w:rsidR="00E32427" w:rsidRPr="00243E4A">
        <w:rPr>
          <w:rFonts w:ascii="Calibri" w:hAnsi="Calibri"/>
          <w:b/>
          <w:color w:val="0000FF"/>
          <w:szCs w:val="28"/>
          <w:lang w:val="ro-RO"/>
        </w:rPr>
        <w:t>Ţ</w:t>
      </w:r>
      <w:r w:rsidR="00E32427">
        <w:rPr>
          <w:rFonts w:ascii="Calibri" w:hAnsi="Calibri"/>
          <w:b/>
          <w:color w:val="0000FF"/>
          <w:szCs w:val="28"/>
          <w:lang w:val="ro-RO"/>
        </w:rPr>
        <w:t>ELOR</w:t>
      </w:r>
    </w:p>
    <w:p w:rsidR="00065CD4" w:rsidRPr="00243E4A" w:rsidRDefault="00065CD4" w:rsidP="00065CD4">
      <w:pPr>
        <w:tabs>
          <w:tab w:val="right" w:pos="9072"/>
        </w:tabs>
        <w:jc w:val="center"/>
        <w:rPr>
          <w:rFonts w:ascii="Calibri" w:hAnsi="Calibri"/>
          <w:b/>
          <w:color w:val="0000FF"/>
          <w:szCs w:val="28"/>
          <w:lang w:val="ro-RO"/>
        </w:rPr>
      </w:pPr>
      <w:r w:rsidRPr="00243E4A">
        <w:rPr>
          <w:rFonts w:ascii="Calibri" w:hAnsi="Calibri"/>
          <w:b/>
          <w:color w:val="0000FF"/>
          <w:szCs w:val="28"/>
          <w:lang w:val="ro-RO"/>
        </w:rPr>
        <w:t>OFICIUL NAŢIONAL DE PREVENIRE</w:t>
      </w:r>
    </w:p>
    <w:p w:rsidR="00065CD4" w:rsidRPr="00243E4A" w:rsidRDefault="00065CD4" w:rsidP="00065CD4">
      <w:pPr>
        <w:tabs>
          <w:tab w:val="center" w:pos="4536"/>
          <w:tab w:val="right" w:pos="9072"/>
        </w:tabs>
        <w:jc w:val="center"/>
        <w:rPr>
          <w:rFonts w:ascii="Calibri" w:hAnsi="Calibri"/>
          <w:b/>
          <w:color w:val="0000FF"/>
          <w:szCs w:val="28"/>
          <w:lang w:val="ro-RO"/>
        </w:rPr>
      </w:pPr>
      <w:r w:rsidRPr="00243E4A">
        <w:rPr>
          <w:rFonts w:ascii="Calibri" w:hAnsi="Calibri"/>
          <w:b/>
          <w:color w:val="0000FF"/>
          <w:szCs w:val="28"/>
          <w:lang w:val="ro-RO"/>
        </w:rPr>
        <w:t>ŞI COMBATERE A SPĂLĂRII BANILOR</w:t>
      </w:r>
    </w:p>
    <w:p w:rsidR="00065CD4" w:rsidRPr="00243E4A" w:rsidRDefault="00065CD4" w:rsidP="00065CD4">
      <w:pPr>
        <w:tabs>
          <w:tab w:val="center" w:pos="4536"/>
          <w:tab w:val="right" w:pos="9072"/>
        </w:tabs>
        <w:jc w:val="center"/>
        <w:rPr>
          <w:rFonts w:ascii="Calibri" w:hAnsi="Calibri"/>
          <w:b/>
          <w:i/>
          <w:iCs/>
          <w:color w:val="333399"/>
          <w:szCs w:val="28"/>
          <w:lang w:val="ro-RO"/>
        </w:rPr>
      </w:pPr>
      <w:r w:rsidRPr="00243E4A">
        <w:rPr>
          <w:rFonts w:ascii="Calibri" w:hAnsi="Calibri"/>
          <w:b/>
          <w:i/>
          <w:color w:val="333399"/>
          <w:szCs w:val="28"/>
          <w:lang w:val="ro-RO"/>
        </w:rPr>
        <w:t xml:space="preserve">Str. Gen. Ion Florescu nr. 1, sector 3, </w:t>
      </w:r>
      <w:r w:rsidRPr="00243E4A">
        <w:rPr>
          <w:rFonts w:ascii="Calibri" w:hAnsi="Calibri"/>
          <w:b/>
          <w:i/>
          <w:iCs/>
          <w:color w:val="333399"/>
          <w:szCs w:val="28"/>
          <w:lang w:val="ro-RO"/>
        </w:rPr>
        <w:t>Bucureşti</w:t>
      </w:r>
    </w:p>
    <w:p w:rsidR="00065CD4" w:rsidRPr="00243E4A" w:rsidRDefault="00065CD4" w:rsidP="00065CD4">
      <w:pPr>
        <w:jc w:val="center"/>
        <w:rPr>
          <w:rFonts w:ascii="Calibri" w:hAnsi="Calibri"/>
          <w:b/>
          <w:i/>
          <w:iCs/>
          <w:color w:val="333399"/>
          <w:szCs w:val="28"/>
          <w:lang w:val="ro-RO"/>
        </w:rPr>
      </w:pPr>
      <w:r w:rsidRPr="00243E4A">
        <w:rPr>
          <w:rFonts w:ascii="Calibri" w:hAnsi="Calibri"/>
          <w:b/>
          <w:i/>
          <w:iCs/>
          <w:color w:val="333399"/>
          <w:szCs w:val="28"/>
          <w:lang w:val="ro-RO"/>
        </w:rPr>
        <w:t>Telefon: 021.315.52.80, Fax: 021.315.52.27</w:t>
      </w:r>
    </w:p>
    <w:p w:rsidR="00065CD4" w:rsidRPr="00243E4A" w:rsidRDefault="00065CD4" w:rsidP="00065CD4">
      <w:pPr>
        <w:jc w:val="center"/>
        <w:rPr>
          <w:rFonts w:ascii="Calibri" w:hAnsi="Calibri"/>
          <w:b/>
          <w:i/>
          <w:iCs/>
          <w:color w:val="000080"/>
          <w:szCs w:val="28"/>
          <w:lang w:val="ro-RO"/>
        </w:rPr>
      </w:pPr>
      <w:r w:rsidRPr="00243E4A">
        <w:rPr>
          <w:rFonts w:ascii="Calibri" w:hAnsi="Calibri"/>
          <w:b/>
          <w:i/>
          <w:iCs/>
          <w:color w:val="000080"/>
          <w:szCs w:val="28"/>
          <w:lang w:val="ro-RO"/>
        </w:rPr>
        <w:t xml:space="preserve">Email: </w:t>
      </w:r>
      <w:hyperlink r:id="rId7" w:history="1">
        <w:r w:rsidRPr="00243E4A">
          <w:rPr>
            <w:rFonts w:ascii="Calibri" w:hAnsi="Calibri"/>
            <w:b/>
            <w:i/>
            <w:iCs/>
            <w:color w:val="0000FF"/>
            <w:szCs w:val="28"/>
            <w:u w:val="single"/>
            <w:lang w:val="ro-RO"/>
          </w:rPr>
          <w:t>onpcsb@onpcsb.ro</w:t>
        </w:r>
      </w:hyperlink>
      <w:r w:rsidRPr="00243E4A">
        <w:rPr>
          <w:rFonts w:ascii="Calibri" w:hAnsi="Calibri"/>
          <w:b/>
          <w:i/>
          <w:iCs/>
          <w:color w:val="000080"/>
          <w:szCs w:val="28"/>
          <w:lang w:val="ro-RO"/>
        </w:rPr>
        <w:t xml:space="preserve">, Web: </w:t>
      </w:r>
      <w:hyperlink r:id="rId8" w:history="1">
        <w:r w:rsidRPr="00243E4A">
          <w:rPr>
            <w:rFonts w:ascii="Calibri" w:hAnsi="Calibri"/>
            <w:b/>
            <w:i/>
            <w:iCs/>
            <w:color w:val="0000FF"/>
            <w:szCs w:val="28"/>
            <w:u w:val="single"/>
            <w:lang w:val="ro-RO"/>
          </w:rPr>
          <w:t>www.onpcsb.ro</w:t>
        </w:r>
      </w:hyperlink>
    </w:p>
    <w:p w:rsidR="00065CD4" w:rsidRPr="00243E4A" w:rsidRDefault="00065CD4" w:rsidP="00065CD4">
      <w:pPr>
        <w:jc w:val="center"/>
        <w:rPr>
          <w:b/>
          <w:i/>
          <w:iCs/>
          <w:color w:val="000080"/>
          <w:szCs w:val="28"/>
          <w:lang w:val="ro-RO"/>
        </w:rPr>
      </w:pPr>
      <w:r w:rsidRPr="00243E4A">
        <w:rPr>
          <w:b/>
          <w:i/>
          <w:iCs/>
          <w:color w:val="000080"/>
          <w:szCs w:val="28"/>
          <w:lang w:val="ro-RO"/>
        </w:rPr>
        <w:t>_____________________________________________________________________</w:t>
      </w:r>
    </w:p>
    <w:p w:rsidR="00065CD4" w:rsidRPr="00486F6D" w:rsidRDefault="00065CD4" w:rsidP="00065CD4">
      <w:pPr>
        <w:jc w:val="center"/>
        <w:rPr>
          <w:rFonts w:ascii="Calibri" w:hAnsi="Calibri" w:cs="Arial"/>
          <w:b/>
          <w:bCs/>
          <w:sz w:val="30"/>
          <w:szCs w:val="30"/>
          <w:lang w:val="ro-RO"/>
        </w:rPr>
      </w:pPr>
    </w:p>
    <w:p w:rsidR="00065CD4" w:rsidRPr="00486F6D" w:rsidRDefault="00B92412" w:rsidP="00065CD4">
      <w:pPr>
        <w:rPr>
          <w:lang w:val="ro-RO"/>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116840</wp:posOffset>
                </wp:positionV>
                <wp:extent cx="6143625" cy="342900"/>
                <wp:effectExtent l="0" t="0" r="9525" b="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42900"/>
                        </a:xfrm>
                        <a:prstGeom prst="rect">
                          <a:avLst/>
                        </a:prstGeom>
                        <a:solidFill>
                          <a:srgbClr val="0000FF"/>
                        </a:solidFill>
                        <a:ln w="9525">
                          <a:solidFill>
                            <a:srgbClr val="000000"/>
                          </a:solidFill>
                          <a:miter lim="800000"/>
                          <a:headEnd/>
                          <a:tailEnd/>
                        </a:ln>
                      </wps:spPr>
                      <wps:txbx>
                        <w:txbxContent>
                          <w:p w:rsidR="00065CD4" w:rsidRPr="004237E3" w:rsidRDefault="004237E3" w:rsidP="00065CD4">
                            <w:pPr>
                              <w:pStyle w:val="Heading5"/>
                              <w:rPr>
                                <w:rFonts w:asciiTheme="minorHAnsi" w:hAnsiTheme="minorHAnsi"/>
                                <w:szCs w:val="28"/>
                                <w:lang w:val="ro-RO"/>
                              </w:rPr>
                            </w:pPr>
                            <w:r>
                              <w:rPr>
                                <w:rFonts w:asciiTheme="minorHAnsi" w:hAnsiTheme="minorHAnsi"/>
                                <w:szCs w:val="28"/>
                              </w:rPr>
                              <w:t>COMUNICAT DE PRES</w:t>
                            </w:r>
                            <w:r>
                              <w:rPr>
                                <w:rFonts w:asciiTheme="minorHAnsi" w:hAnsiTheme="minorHAnsi"/>
                                <w:szCs w:val="28"/>
                                <w:lang w:val="ro-RO"/>
                              </w:rPr>
                              <w: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 o:spid="_x0000_s1027" type="#_x0000_t202" style="position:absolute;margin-left:4.5pt;margin-top:9.2pt;width:48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" fillcolor="blue">
                <v:textbox>
                  <w:txbxContent>
                    <w:p w:rsidR="00065CD4" w:rsidRPr="004237E3" w:rsidRDefault="004237E3" w:rsidP="00065CD4">
                      <w:pPr>
                        <w:pStyle w:val="Heading5"/>
                        <w:rPr>
                          <w:rFonts w:asciiTheme="minorHAnsi" w:hAnsiTheme="minorHAnsi"/>
                          <w:szCs w:val="28"/>
                          <w:lang w:val="ro-RO"/>
                        </w:rPr>
                      </w:pPr>
                      <w:r>
                        <w:rPr>
                          <w:rFonts w:asciiTheme="minorHAnsi" w:hAnsiTheme="minorHAnsi"/>
                          <w:szCs w:val="28"/>
                        </w:rPr>
                        <w:t>COMUNICAT DE PRES</w:t>
                      </w:r>
                      <w:r>
                        <w:rPr>
                          <w:rFonts w:asciiTheme="minorHAnsi" w:hAnsiTheme="minorHAnsi"/>
                          <w:szCs w:val="28"/>
                          <w:lang w:val="ro-RO"/>
                        </w:rPr>
                        <w:t>Ă</w:t>
                      </w:r>
                    </w:p>
                  </w:txbxContent>
                </v:textbox>
              </v:shape>
            </w:pict>
          </mc:Fallback>
        </mc:AlternateContent>
      </w:r>
    </w:p>
    <w:p w:rsidR="00A572BA" w:rsidRPr="00486F6D" w:rsidRDefault="00A572BA">
      <w:pPr>
        <w:rPr>
          <w:lang w:val="ro-RO"/>
        </w:rPr>
      </w:pPr>
    </w:p>
    <w:p w:rsidR="002916F0" w:rsidRPr="00486F6D" w:rsidRDefault="002916F0">
      <w:pPr>
        <w:rPr>
          <w:lang w:val="ro-RO"/>
        </w:rPr>
      </w:pPr>
    </w:p>
    <w:p w:rsidR="00521D43" w:rsidRDefault="00521D43" w:rsidP="00521D43">
      <w:pPr>
        <w:ind w:firstLine="720"/>
        <w:jc w:val="both"/>
        <w:rPr>
          <w:rFonts w:ascii="Calibri" w:hAnsi="Calibri" w:cs="Calibri"/>
          <w:iCs/>
          <w:szCs w:val="28"/>
          <w:lang w:val="ro-RO"/>
        </w:rPr>
      </w:pPr>
    </w:p>
    <w:p w:rsidR="00E0771D" w:rsidRPr="00C04560" w:rsidRDefault="00486F6D" w:rsidP="00521D43">
      <w:pPr>
        <w:ind w:firstLine="720"/>
        <w:jc w:val="both"/>
        <w:rPr>
          <w:rFonts w:ascii="Calibri" w:hAnsi="Calibri" w:cs="Calibri"/>
          <w:iCs/>
          <w:szCs w:val="28"/>
          <w:lang w:val="ro-RO"/>
        </w:rPr>
      </w:pPr>
      <w:r w:rsidRPr="00C04560">
        <w:rPr>
          <w:rFonts w:ascii="Calibri" w:hAnsi="Calibri" w:cs="Calibri"/>
          <w:iCs/>
          <w:szCs w:val="28"/>
          <w:lang w:val="ro-RO"/>
        </w:rPr>
        <w:t xml:space="preserve">În data de </w:t>
      </w:r>
      <w:r w:rsidRPr="00C04560">
        <w:rPr>
          <w:rFonts w:ascii="Calibri" w:hAnsi="Calibri" w:cs="Calibri"/>
          <w:b/>
          <w:iCs/>
          <w:szCs w:val="28"/>
          <w:lang w:val="ro-RO"/>
        </w:rPr>
        <w:t xml:space="preserve">31 martie 2021, Plenul Camerei Deputaților </w:t>
      </w:r>
      <w:r w:rsidR="00E0771D" w:rsidRPr="00C04560">
        <w:rPr>
          <w:rFonts w:ascii="Calibri" w:hAnsi="Calibri" w:cs="Calibri"/>
          <w:b/>
          <w:iCs/>
          <w:szCs w:val="28"/>
          <w:lang w:val="ro-RO"/>
        </w:rPr>
        <w:t xml:space="preserve">a adoptat </w:t>
      </w:r>
      <w:r w:rsidR="005C08C1" w:rsidRPr="00C04560">
        <w:rPr>
          <w:rFonts w:ascii="Calibri" w:hAnsi="Calibri" w:cs="Calibri"/>
          <w:b/>
          <w:iCs/>
          <w:szCs w:val="28"/>
          <w:lang w:val="ro-RO"/>
        </w:rPr>
        <w:t xml:space="preserve">Proiectul de Lege pentru </w:t>
      </w:r>
      <w:r w:rsidR="00E0771D" w:rsidRPr="00C04560">
        <w:rPr>
          <w:rFonts w:ascii="Calibri" w:hAnsi="Calibri" w:cs="Calibri"/>
          <w:b/>
          <w:iCs/>
          <w:szCs w:val="28"/>
          <w:lang w:val="ro-RO"/>
        </w:rPr>
        <w:t>aproba</w:t>
      </w:r>
      <w:r w:rsidR="005C08C1" w:rsidRPr="00C04560">
        <w:rPr>
          <w:rFonts w:ascii="Calibri" w:hAnsi="Calibri" w:cs="Calibri"/>
          <w:b/>
          <w:iCs/>
          <w:szCs w:val="28"/>
          <w:lang w:val="ro-RO"/>
        </w:rPr>
        <w:t>rea Ordonanţei de urgenţă a Guvernului nr.111/2020</w:t>
      </w:r>
      <w:r w:rsidR="005C08C1" w:rsidRPr="00C04560">
        <w:rPr>
          <w:rFonts w:ascii="Calibri" w:hAnsi="Calibri" w:cs="Calibri"/>
          <w:iCs/>
          <w:szCs w:val="28"/>
          <w:lang w:val="ro-RO"/>
        </w:rPr>
        <w:t xml:space="preserve"> privind modificarea şi completarea Legii nr.129/2019 pentru prevenirea şi combaterea spălării banilor şi finanţării terorismului, precum şi pentru modificarea şi completarea unor acte normative, pentru completarea art.</w:t>
      </w:r>
      <w:r w:rsidR="00A24315">
        <w:rPr>
          <w:rFonts w:ascii="Calibri" w:hAnsi="Calibri" w:cs="Calibri"/>
          <w:iCs/>
          <w:szCs w:val="28"/>
          <w:lang w:val="ro-RO"/>
        </w:rPr>
        <w:t xml:space="preserve"> </w:t>
      </w:r>
      <w:r w:rsidR="005C08C1" w:rsidRPr="00C04560">
        <w:rPr>
          <w:rFonts w:ascii="Calibri" w:hAnsi="Calibri" w:cs="Calibri"/>
          <w:iCs/>
          <w:szCs w:val="28"/>
          <w:lang w:val="ro-RO"/>
        </w:rPr>
        <w:t xml:space="preserve">218 din Ordonanţa de urgenţă a Guvernului nr.99/2006 privind instituţiile de credit şi adecvarea capitalului, pentru modificarea şi completarea Legii nr.207/2015 privind Codul de procedură fiscală, precum şi pentru completarea art.12 alin.(5) din Legea nr.237/2015 privind autorizarea şi supravegherea activităţii de asigurare şi reasigurare </w:t>
      </w:r>
      <w:r w:rsidR="00E0771D" w:rsidRPr="00C04560">
        <w:rPr>
          <w:rFonts w:ascii="Calibri" w:hAnsi="Calibri" w:cs="Calibri"/>
          <w:iCs/>
          <w:szCs w:val="28"/>
          <w:lang w:val="ro-RO"/>
        </w:rPr>
        <w:t>- lege organică </w:t>
      </w:r>
      <w:r w:rsidR="009F2B77" w:rsidRPr="00C04560">
        <w:rPr>
          <w:rFonts w:ascii="Calibri" w:hAnsi="Calibri" w:cs="Calibri"/>
          <w:iCs/>
          <w:szCs w:val="28"/>
          <w:lang w:val="ro-RO"/>
        </w:rPr>
        <w:t xml:space="preserve">. </w:t>
      </w:r>
    </w:p>
    <w:p w:rsidR="00200480" w:rsidRPr="00C04560" w:rsidRDefault="00200480" w:rsidP="00521D43">
      <w:pPr>
        <w:ind w:firstLine="720"/>
        <w:jc w:val="both"/>
        <w:rPr>
          <w:rFonts w:ascii="Calibri" w:hAnsi="Calibri" w:cs="Calibri"/>
          <w:bCs/>
          <w:szCs w:val="28"/>
          <w:lang w:val="ro-RO"/>
        </w:rPr>
      </w:pPr>
      <w:r w:rsidRPr="00C04560">
        <w:rPr>
          <w:rFonts w:ascii="Calibri" w:hAnsi="Calibri" w:cs="Calibri"/>
          <w:b/>
          <w:szCs w:val="28"/>
          <w:lang w:val="ro-RO"/>
        </w:rPr>
        <w:t>Ordonanța de Urgență a Guvernului</w:t>
      </w:r>
      <w:r w:rsidRPr="00C04560">
        <w:rPr>
          <w:rFonts w:ascii="Calibri" w:hAnsi="Calibri" w:cs="Calibri"/>
          <w:szCs w:val="28"/>
          <w:lang w:val="ro-RO"/>
        </w:rPr>
        <w:t xml:space="preserve"> </w:t>
      </w:r>
      <w:r w:rsidRPr="00C04560">
        <w:rPr>
          <w:rFonts w:ascii="Calibri" w:hAnsi="Calibri" w:cs="Calibri"/>
          <w:b/>
          <w:szCs w:val="28"/>
          <w:lang w:val="ro-RO"/>
        </w:rPr>
        <w:t>nr. 111 din 1 iulie 2020</w:t>
      </w:r>
      <w:r w:rsidRPr="00C04560">
        <w:rPr>
          <w:rFonts w:ascii="Calibri" w:hAnsi="Calibri" w:cs="Calibri"/>
          <w:szCs w:val="28"/>
          <w:lang w:val="ro-RO"/>
        </w:rPr>
        <w:t>, publicată în Monitorul Oficial nr. 620 din 15 iulie 2020,</w:t>
      </w:r>
      <w:r w:rsidRPr="00C04560">
        <w:rPr>
          <w:rFonts w:ascii="Calibri" w:hAnsi="Calibri" w:cs="Calibri"/>
          <w:b/>
          <w:szCs w:val="28"/>
          <w:lang w:val="ro-RO"/>
        </w:rPr>
        <w:t xml:space="preserve"> </w:t>
      </w:r>
      <w:r w:rsidRPr="00C04560">
        <w:rPr>
          <w:rFonts w:ascii="Calibri" w:hAnsi="Calibri" w:cs="Calibri"/>
          <w:szCs w:val="28"/>
          <w:lang w:val="ro-RO"/>
        </w:rPr>
        <w:t xml:space="preserve"> este actul normativ care a fost notificat </w:t>
      </w:r>
      <w:r w:rsidR="00C85974" w:rsidRPr="00C04560">
        <w:rPr>
          <w:rFonts w:ascii="Calibri" w:hAnsi="Calibri" w:cs="Calibri"/>
          <w:szCs w:val="28"/>
          <w:lang w:val="ro-RO"/>
        </w:rPr>
        <w:t xml:space="preserve">de România, </w:t>
      </w:r>
      <w:r w:rsidRPr="00C04560">
        <w:rPr>
          <w:rFonts w:ascii="Calibri" w:hAnsi="Calibri" w:cs="Calibri"/>
          <w:szCs w:val="28"/>
          <w:lang w:val="ro-RO"/>
        </w:rPr>
        <w:t>în anul 2020</w:t>
      </w:r>
      <w:r w:rsidR="00C85974" w:rsidRPr="00C04560">
        <w:rPr>
          <w:rFonts w:ascii="Calibri" w:hAnsi="Calibri" w:cs="Calibri"/>
          <w:szCs w:val="28"/>
          <w:lang w:val="ro-RO"/>
        </w:rPr>
        <w:t>,</w:t>
      </w:r>
      <w:r w:rsidRPr="00C04560">
        <w:rPr>
          <w:rFonts w:ascii="Calibri" w:hAnsi="Calibri" w:cs="Calibri"/>
          <w:szCs w:val="28"/>
          <w:lang w:val="ro-RO"/>
        </w:rPr>
        <w:t xml:space="preserve"> ca normă națională de transpunere a Directivei</w:t>
      </w:r>
      <w:r w:rsidRPr="00C04560">
        <w:rPr>
          <w:rStyle w:val="FootnoteReference"/>
          <w:rFonts w:ascii="Calibri" w:hAnsi="Calibri" w:cs="Calibri"/>
          <w:szCs w:val="28"/>
          <w:lang w:val="ro-RO"/>
        </w:rPr>
        <w:footnoteReference w:id="1"/>
      </w:r>
      <w:r w:rsidRPr="00C04560">
        <w:rPr>
          <w:rFonts w:ascii="Calibri" w:hAnsi="Calibri" w:cs="Calibri"/>
          <w:szCs w:val="28"/>
          <w:lang w:val="ro-RO"/>
        </w:rPr>
        <w:t xml:space="preserve"> (UE) 2018/843 - AMLD5</w:t>
      </w:r>
      <w:r w:rsidRPr="00C04560">
        <w:rPr>
          <w:rFonts w:ascii="Calibri" w:hAnsi="Calibri" w:cs="Calibri"/>
          <w:szCs w:val="28"/>
          <w:lang w:val="ro-RO"/>
        </w:rPr>
        <w:t>.</w:t>
      </w:r>
    </w:p>
    <w:p w:rsidR="00501A4E" w:rsidRDefault="00E0771D" w:rsidP="00501A4E">
      <w:pPr>
        <w:ind w:firstLine="720"/>
        <w:jc w:val="both"/>
        <w:rPr>
          <w:rFonts w:ascii="Calibri" w:hAnsi="Calibri" w:cs="Calibri"/>
          <w:iCs/>
          <w:szCs w:val="28"/>
          <w:lang w:val="ro-RO"/>
        </w:rPr>
      </w:pPr>
      <w:r w:rsidRPr="00521D43">
        <w:rPr>
          <w:rFonts w:ascii="Calibri" w:hAnsi="Calibri" w:cs="Calibri"/>
          <w:b/>
          <w:bCs/>
          <w:szCs w:val="28"/>
          <w:lang w:val="ro-RO"/>
        </w:rPr>
        <w:t>P</w:t>
      </w:r>
      <w:r w:rsidRPr="00521D43">
        <w:rPr>
          <w:rFonts w:ascii="Calibri" w:hAnsi="Calibri" w:cs="Calibri"/>
          <w:b/>
          <w:bCs/>
          <w:szCs w:val="28"/>
          <w:lang w:val="ro-RO"/>
        </w:rPr>
        <w:t xml:space="preserve">roiectul </w:t>
      </w:r>
      <w:r w:rsidRPr="00521D43">
        <w:rPr>
          <w:rFonts w:ascii="Calibri" w:hAnsi="Calibri" w:cs="Calibri"/>
          <w:b/>
          <w:bCs/>
          <w:szCs w:val="28"/>
          <w:lang w:val="ro-RO"/>
        </w:rPr>
        <w:t xml:space="preserve">de lege </w:t>
      </w:r>
      <w:r w:rsidRPr="00521D43">
        <w:rPr>
          <w:rFonts w:ascii="Calibri" w:hAnsi="Calibri" w:cs="Calibri"/>
          <w:b/>
          <w:iCs/>
          <w:szCs w:val="28"/>
          <w:lang w:val="ro-RO"/>
        </w:rPr>
        <w:t>(PL-x 466/2020)</w:t>
      </w:r>
      <w:r w:rsidRPr="00C04560">
        <w:rPr>
          <w:rFonts w:ascii="Calibri" w:hAnsi="Calibri" w:cs="Calibri"/>
          <w:bCs/>
          <w:szCs w:val="28"/>
          <w:lang w:val="ro-RO"/>
        </w:rPr>
        <w:t xml:space="preserve"> a fost dezbătut în </w:t>
      </w:r>
      <w:r w:rsidRPr="00C04560">
        <w:rPr>
          <w:rFonts w:ascii="Calibri" w:hAnsi="Calibri" w:cs="Calibri"/>
          <w:i/>
          <w:iCs/>
          <w:szCs w:val="28"/>
          <w:lang w:val="ro-RO"/>
        </w:rPr>
        <w:t xml:space="preserve">Procedură de urgenţă în </w:t>
      </w:r>
      <w:r w:rsidRPr="00C04560">
        <w:rPr>
          <w:rFonts w:ascii="Calibri" w:hAnsi="Calibri" w:cs="Calibri"/>
          <w:bCs/>
          <w:i/>
          <w:szCs w:val="28"/>
          <w:lang w:val="ro-RO"/>
        </w:rPr>
        <w:t>Camera</w:t>
      </w:r>
      <w:r w:rsidRPr="00C04560">
        <w:rPr>
          <w:rFonts w:ascii="Calibri" w:hAnsi="Calibri" w:cs="Calibri"/>
          <w:bCs/>
          <w:i/>
          <w:szCs w:val="28"/>
          <w:lang w:val="ro-RO"/>
        </w:rPr>
        <w:t xml:space="preserve"> Deputaților</w:t>
      </w:r>
      <w:r w:rsidRPr="00C04560">
        <w:rPr>
          <w:rFonts w:ascii="Calibri" w:hAnsi="Calibri" w:cs="Calibri"/>
          <w:i/>
          <w:iCs/>
          <w:szCs w:val="28"/>
          <w:lang w:val="ro-RO"/>
        </w:rPr>
        <w:t>,</w:t>
      </w:r>
      <w:r w:rsidRPr="00C04560">
        <w:rPr>
          <w:rFonts w:ascii="Calibri" w:hAnsi="Calibri" w:cs="Calibri"/>
          <w:iCs/>
          <w:szCs w:val="28"/>
          <w:lang w:val="ro-RO"/>
        </w:rPr>
        <w:t xml:space="preserve"> iar </w:t>
      </w:r>
      <w:r w:rsidR="00A12ABF" w:rsidRPr="00C04560">
        <w:rPr>
          <w:rFonts w:ascii="Calibri" w:hAnsi="Calibri" w:cs="Calibri"/>
          <w:i/>
          <w:iCs/>
          <w:szCs w:val="28"/>
          <w:lang w:val="ro-RO"/>
        </w:rPr>
        <w:t>Raportul comun al Comisiei</w:t>
      </w:r>
      <w:r w:rsidR="00501A4E">
        <w:rPr>
          <w:rFonts w:ascii="Calibri" w:hAnsi="Calibri" w:cs="Calibri"/>
          <w:i/>
          <w:iCs/>
          <w:szCs w:val="28"/>
          <w:lang w:val="ro-RO"/>
        </w:rPr>
        <w:t xml:space="preserve"> pentru buget, f</w:t>
      </w:r>
      <w:r w:rsidR="00501A4E">
        <w:rPr>
          <w:rFonts w:ascii="Calibri" w:hAnsi="Calibri" w:cs="Calibri"/>
          <w:bCs/>
          <w:i/>
          <w:szCs w:val="28"/>
          <w:lang w:val="ro-RO"/>
        </w:rPr>
        <w:t>inanțe și b</w:t>
      </w:r>
      <w:r w:rsidRPr="00C04560">
        <w:rPr>
          <w:rFonts w:ascii="Calibri" w:hAnsi="Calibri" w:cs="Calibri"/>
          <w:bCs/>
          <w:i/>
          <w:szCs w:val="28"/>
          <w:lang w:val="ro-RO"/>
        </w:rPr>
        <w:t xml:space="preserve">ănci </w:t>
      </w:r>
      <w:r w:rsidR="00501A4E">
        <w:rPr>
          <w:rFonts w:ascii="Calibri" w:hAnsi="Calibri" w:cs="Calibri"/>
          <w:bCs/>
          <w:i/>
          <w:szCs w:val="28"/>
          <w:lang w:val="ro-RO"/>
        </w:rPr>
        <w:t xml:space="preserve"> </w:t>
      </w:r>
      <w:r w:rsidRPr="00C04560">
        <w:rPr>
          <w:rFonts w:ascii="Calibri" w:hAnsi="Calibri" w:cs="Calibri"/>
          <w:bCs/>
          <w:i/>
          <w:szCs w:val="28"/>
          <w:lang w:val="ro-RO"/>
        </w:rPr>
        <w:t xml:space="preserve">și </w:t>
      </w:r>
      <w:r w:rsidR="00501A4E">
        <w:rPr>
          <w:rFonts w:ascii="Calibri" w:hAnsi="Calibri" w:cs="Calibri"/>
          <w:bCs/>
          <w:i/>
          <w:szCs w:val="28"/>
          <w:lang w:val="ro-RO"/>
        </w:rPr>
        <w:t xml:space="preserve">al </w:t>
      </w:r>
      <w:r w:rsidRPr="00C04560">
        <w:rPr>
          <w:rFonts w:ascii="Calibri" w:hAnsi="Calibri" w:cs="Calibri"/>
          <w:i/>
          <w:iCs/>
          <w:szCs w:val="28"/>
          <w:lang w:val="ro-RO"/>
        </w:rPr>
        <w:t>Comisiei</w:t>
      </w:r>
      <w:r w:rsidR="005C08C1" w:rsidRPr="00C04560">
        <w:rPr>
          <w:rFonts w:ascii="Calibri" w:hAnsi="Calibri" w:cs="Calibri"/>
          <w:i/>
          <w:iCs/>
          <w:szCs w:val="28"/>
          <w:lang w:val="ro-RO"/>
        </w:rPr>
        <w:t xml:space="preserve"> </w:t>
      </w:r>
      <w:r w:rsidRPr="00C04560">
        <w:rPr>
          <w:rFonts w:ascii="Calibri" w:hAnsi="Calibri" w:cs="Calibri"/>
          <w:bCs/>
          <w:i/>
          <w:szCs w:val="28"/>
          <w:lang w:val="ro-RO"/>
        </w:rPr>
        <w:t>Juridice</w:t>
      </w:r>
      <w:r w:rsidRPr="00C04560">
        <w:rPr>
          <w:rFonts w:ascii="Calibri" w:hAnsi="Calibri" w:cs="Calibri"/>
          <w:bCs/>
          <w:i/>
          <w:szCs w:val="28"/>
          <w:shd w:val="clear" w:color="auto" w:fill="FFFFFF"/>
          <w:lang w:val="ro-RO"/>
        </w:rPr>
        <w:t xml:space="preserve"> </w:t>
      </w:r>
      <w:r w:rsidRPr="00C04560">
        <w:rPr>
          <w:rFonts w:ascii="Calibri" w:hAnsi="Calibri" w:cs="Calibri"/>
          <w:bCs/>
          <w:i/>
          <w:szCs w:val="28"/>
          <w:lang w:val="ro-RO"/>
        </w:rPr>
        <w:t>de disciplină și imunități</w:t>
      </w:r>
      <w:r w:rsidR="00501A4E">
        <w:rPr>
          <w:rFonts w:ascii="Calibri" w:hAnsi="Calibri" w:cs="Calibri"/>
          <w:iCs/>
          <w:szCs w:val="28"/>
          <w:lang w:val="ro-RO"/>
        </w:rPr>
        <w:t xml:space="preserve"> a fost </w:t>
      </w:r>
      <w:r w:rsidR="00200480" w:rsidRPr="00C04560">
        <w:rPr>
          <w:rFonts w:ascii="Calibri" w:hAnsi="Calibri" w:cs="Calibri"/>
          <w:iCs/>
          <w:szCs w:val="28"/>
          <w:lang w:val="ro-RO"/>
        </w:rPr>
        <w:t>a</w:t>
      </w:r>
      <w:r w:rsidRPr="00C04560">
        <w:rPr>
          <w:rFonts w:ascii="Calibri" w:hAnsi="Calibri" w:cs="Calibri"/>
          <w:iCs/>
          <w:szCs w:val="28"/>
          <w:lang w:val="ro-RO"/>
        </w:rPr>
        <w:t>doptat</w:t>
      </w:r>
      <w:r w:rsidR="00501A4E">
        <w:rPr>
          <w:rFonts w:ascii="Calibri" w:hAnsi="Calibri" w:cs="Calibri"/>
          <w:iCs/>
          <w:szCs w:val="28"/>
          <w:lang w:val="ro-RO"/>
        </w:rPr>
        <w:t xml:space="preserve"> și </w:t>
      </w:r>
      <w:r w:rsidRPr="00C04560">
        <w:rPr>
          <w:rFonts w:ascii="Calibri" w:hAnsi="Calibri" w:cs="Calibri"/>
          <w:iCs/>
          <w:szCs w:val="28"/>
          <w:lang w:val="ro-RO"/>
        </w:rPr>
        <w:t>distribuit î</w:t>
      </w:r>
      <w:r w:rsidR="005C08C1" w:rsidRPr="00C04560">
        <w:rPr>
          <w:rFonts w:ascii="Calibri" w:hAnsi="Calibri" w:cs="Calibri"/>
          <w:iCs/>
          <w:szCs w:val="28"/>
          <w:lang w:val="ro-RO"/>
        </w:rPr>
        <w:t xml:space="preserve">n data de </w:t>
      </w:r>
      <w:r w:rsidR="00501A4E">
        <w:rPr>
          <w:rFonts w:ascii="Calibri" w:hAnsi="Calibri" w:cs="Calibri"/>
          <w:iCs/>
          <w:szCs w:val="28"/>
          <w:lang w:val="ro-RO"/>
        </w:rPr>
        <w:t xml:space="preserve">30 martie </w:t>
      </w:r>
      <w:r w:rsidR="005C08C1" w:rsidRPr="00C04560">
        <w:rPr>
          <w:rFonts w:ascii="Calibri" w:hAnsi="Calibri" w:cs="Calibri"/>
          <w:iCs/>
          <w:szCs w:val="28"/>
          <w:lang w:val="ro-RO"/>
        </w:rPr>
        <w:t>2021</w:t>
      </w:r>
      <w:r w:rsidR="00A12ABF" w:rsidRPr="00C04560">
        <w:rPr>
          <w:rFonts w:ascii="Calibri" w:hAnsi="Calibri" w:cs="Calibri"/>
          <w:iCs/>
          <w:szCs w:val="28"/>
          <w:lang w:val="ro-RO"/>
        </w:rPr>
        <w:t xml:space="preserve"> </w:t>
      </w:r>
      <w:r w:rsidRPr="00C04560">
        <w:rPr>
          <w:rFonts w:ascii="Calibri" w:hAnsi="Calibri" w:cs="Calibri"/>
          <w:iCs/>
          <w:szCs w:val="28"/>
          <w:lang w:val="ro-RO"/>
        </w:rPr>
        <w:t>plenului Camerei</w:t>
      </w:r>
      <w:r w:rsidR="00501A4E">
        <w:rPr>
          <w:rFonts w:ascii="Calibri" w:hAnsi="Calibri" w:cs="Calibri"/>
          <w:iCs/>
          <w:szCs w:val="28"/>
          <w:lang w:val="ro-RO"/>
        </w:rPr>
        <w:t>,</w:t>
      </w:r>
      <w:r w:rsidRPr="00C04560">
        <w:rPr>
          <w:rFonts w:ascii="Calibri" w:hAnsi="Calibri" w:cs="Calibri"/>
          <w:iCs/>
          <w:szCs w:val="28"/>
          <w:lang w:val="ro-RO"/>
        </w:rPr>
        <w:t xml:space="preserve"> pentru vot</w:t>
      </w:r>
      <w:r w:rsidR="00501A4E">
        <w:rPr>
          <w:rFonts w:ascii="Calibri" w:hAnsi="Calibri" w:cs="Calibri"/>
          <w:iCs/>
          <w:szCs w:val="28"/>
          <w:lang w:val="ro-RO"/>
        </w:rPr>
        <w:t xml:space="preserve"> final</w:t>
      </w:r>
      <w:r w:rsidRPr="00C04560">
        <w:rPr>
          <w:rFonts w:ascii="Calibri" w:hAnsi="Calibri" w:cs="Calibri"/>
          <w:iCs/>
          <w:szCs w:val="28"/>
          <w:lang w:val="ro-RO"/>
        </w:rPr>
        <w:t xml:space="preserve">. </w:t>
      </w:r>
    </w:p>
    <w:p w:rsidR="00582AE5" w:rsidRPr="00A12ABF" w:rsidRDefault="00E0771D" w:rsidP="00501A4E">
      <w:pPr>
        <w:spacing w:after="160"/>
        <w:ind w:firstLine="720"/>
        <w:jc w:val="both"/>
        <w:rPr>
          <w:rFonts w:ascii="Century Gothic" w:hAnsi="Century Gothic" w:cs="Arial"/>
          <w:sz w:val="26"/>
          <w:szCs w:val="26"/>
          <w:lang w:val="ro-RO"/>
        </w:rPr>
      </w:pPr>
      <w:r w:rsidRPr="00C04560">
        <w:rPr>
          <w:rFonts w:ascii="Calibri" w:hAnsi="Calibri" w:cs="Calibri"/>
          <w:b/>
          <w:iCs/>
          <w:szCs w:val="28"/>
          <w:lang w:val="ro-RO"/>
        </w:rPr>
        <w:t>P</w:t>
      </w:r>
      <w:r w:rsidR="005C08C1" w:rsidRPr="00C04560">
        <w:rPr>
          <w:rFonts w:ascii="Calibri" w:hAnsi="Calibri" w:cs="Calibri"/>
          <w:b/>
          <w:iCs/>
          <w:szCs w:val="28"/>
          <w:lang w:val="ro-RO"/>
        </w:rPr>
        <w:t>roiectul de lege pentru aprobarea </w:t>
      </w:r>
      <w:r w:rsidR="009F2B77" w:rsidRPr="00C04560">
        <w:rPr>
          <w:rFonts w:ascii="Calibri" w:hAnsi="Calibri" w:cs="Calibri"/>
          <w:iCs/>
          <w:szCs w:val="28"/>
          <w:lang w:val="ro-RO"/>
        </w:rPr>
        <w:t xml:space="preserve"> </w:t>
      </w:r>
      <w:r w:rsidRPr="00C04560">
        <w:rPr>
          <w:rFonts w:ascii="Calibri" w:hAnsi="Calibri" w:cs="Calibri"/>
          <w:b/>
          <w:iCs/>
          <w:szCs w:val="28"/>
          <w:lang w:val="ro-RO"/>
        </w:rPr>
        <w:t xml:space="preserve">Ordonanţei de urgenţă a Guvernului nr.111/2020 </w:t>
      </w:r>
      <w:r w:rsidR="009F2B77" w:rsidRPr="00C04560">
        <w:rPr>
          <w:rFonts w:ascii="Calibri" w:hAnsi="Calibri" w:cs="Calibri"/>
          <w:b/>
          <w:iCs/>
          <w:szCs w:val="28"/>
          <w:lang w:val="ro-RO"/>
        </w:rPr>
        <w:t xml:space="preserve">a fost </w:t>
      </w:r>
      <w:r w:rsidR="005C08C1" w:rsidRPr="00C04560">
        <w:rPr>
          <w:rFonts w:ascii="Calibri" w:hAnsi="Calibri" w:cs="Calibri"/>
          <w:b/>
          <w:iCs/>
          <w:szCs w:val="28"/>
          <w:lang w:val="ro-RO"/>
        </w:rPr>
        <w:t>adoptat de Camera Deputatilor</w:t>
      </w:r>
      <w:r w:rsidRPr="00C04560">
        <w:rPr>
          <w:rFonts w:ascii="Calibri" w:hAnsi="Calibri" w:cs="Calibri"/>
          <w:b/>
          <w:iCs/>
          <w:szCs w:val="28"/>
          <w:lang w:val="ro-RO"/>
        </w:rPr>
        <w:t xml:space="preserve"> -</w:t>
      </w:r>
      <w:r w:rsidR="00A12ABF" w:rsidRPr="00C04560">
        <w:rPr>
          <w:rFonts w:ascii="Calibri" w:hAnsi="Calibri" w:cs="Calibri"/>
          <w:b/>
          <w:iCs/>
          <w:szCs w:val="28"/>
          <w:lang w:val="ro-RO"/>
        </w:rPr>
        <w:t xml:space="preserve"> </w:t>
      </w:r>
      <w:r w:rsidRPr="00C04560">
        <w:rPr>
          <w:rFonts w:ascii="Calibri" w:hAnsi="Calibri" w:cs="Calibri"/>
          <w:b/>
          <w:iCs/>
          <w:szCs w:val="28"/>
          <w:lang w:val="ro-RO"/>
        </w:rPr>
        <w:t xml:space="preserve">Cameră decizională,  </w:t>
      </w:r>
      <w:r w:rsidRPr="00C04560">
        <w:rPr>
          <w:rFonts w:ascii="Calibri" w:hAnsi="Calibri" w:cs="Calibri"/>
          <w:b/>
          <w:iCs/>
          <w:szCs w:val="28"/>
          <w:lang w:val="ro-RO"/>
        </w:rPr>
        <w:t>în unanimitate</w:t>
      </w:r>
      <w:r w:rsidRPr="00C04560">
        <w:rPr>
          <w:rFonts w:ascii="Calibri" w:hAnsi="Calibri" w:cs="Calibri"/>
          <w:iCs/>
          <w:szCs w:val="28"/>
          <w:lang w:val="ro-RO"/>
        </w:rPr>
        <w:t xml:space="preserve"> (</w:t>
      </w:r>
      <w:hyperlink r:id="rId9" w:tgtFrame="VOT" w:history="1">
        <w:r w:rsidR="005C08C1" w:rsidRPr="00C04560">
          <w:rPr>
            <w:rFonts w:ascii="Calibri" w:hAnsi="Calibri" w:cs="Calibri"/>
            <w:iCs/>
            <w:szCs w:val="28"/>
            <w:lang w:val="ro-RO"/>
          </w:rPr>
          <w:t>rezultat vot</w:t>
        </w:r>
      </w:hyperlink>
      <w:r w:rsidR="005C08C1" w:rsidRPr="00C04560">
        <w:rPr>
          <w:rFonts w:ascii="Calibri" w:hAnsi="Calibri" w:cs="Calibri"/>
          <w:iCs/>
          <w:szCs w:val="28"/>
          <w:lang w:val="ro-RO"/>
        </w:rPr>
        <w:t> pentru=292, contra=0, abtineri=0</w:t>
      </w:r>
      <w:r w:rsidRPr="00C04560">
        <w:rPr>
          <w:rFonts w:ascii="Calibri" w:hAnsi="Calibri" w:cs="Calibri"/>
          <w:iCs/>
          <w:szCs w:val="28"/>
          <w:lang w:val="ro-RO"/>
        </w:rPr>
        <w:t>)</w:t>
      </w:r>
      <w:r w:rsidR="003C4B4C">
        <w:rPr>
          <w:rFonts w:ascii="Calibri" w:hAnsi="Calibri" w:cs="Calibri"/>
          <w:iCs/>
          <w:szCs w:val="28"/>
          <w:lang w:val="ro-RO"/>
        </w:rPr>
        <w:t>,</w:t>
      </w:r>
      <w:r w:rsidRPr="00C04560">
        <w:rPr>
          <w:rFonts w:ascii="Calibri" w:hAnsi="Calibri" w:cs="Calibri"/>
          <w:iCs/>
          <w:szCs w:val="28"/>
          <w:lang w:val="ro-RO"/>
        </w:rPr>
        <w:t xml:space="preserve"> în ședința </w:t>
      </w:r>
      <w:r w:rsidR="00200480" w:rsidRPr="00C04560">
        <w:rPr>
          <w:rFonts w:ascii="Calibri" w:hAnsi="Calibri" w:cs="Calibri"/>
          <w:iCs/>
          <w:szCs w:val="28"/>
          <w:lang w:val="ro-RO"/>
        </w:rPr>
        <w:t>din data de 31 martie 2021.</w:t>
      </w:r>
    </w:p>
    <w:tbl>
      <w:tblPr>
        <w:tblpPr w:leftFromText="180" w:rightFromText="180" w:vertAnchor="text" w:horzAnchor="margin" w:tblpY="537"/>
        <w:tblW w:w="5000" w:type="pct"/>
        <w:tblLayout w:type="fixed"/>
        <w:tblCellMar>
          <w:left w:w="0" w:type="dxa"/>
          <w:right w:w="0" w:type="dxa"/>
        </w:tblCellMar>
        <w:tblLook w:val="01E0" w:firstRow="1" w:lastRow="1" w:firstColumn="1" w:lastColumn="1" w:noHBand="0" w:noVBand="0"/>
      </w:tblPr>
      <w:tblGrid>
        <w:gridCol w:w="7445"/>
        <w:gridCol w:w="2455"/>
      </w:tblGrid>
      <w:tr w:rsidR="00C85974" w:rsidRPr="00E0771D" w:rsidTr="00AA3E8E">
        <w:trPr>
          <w:gridAfter w:val="1"/>
          <w:wAfter w:w="1240" w:type="pct"/>
        </w:trPr>
        <w:tc>
          <w:tcPr>
            <w:tcW w:w="3760" w:type="pct"/>
            <w:shd w:val="clear" w:color="auto" w:fill="auto"/>
            <w:noWrap/>
          </w:tcPr>
          <w:p w:rsidR="00C85974" w:rsidRPr="006B0DAC" w:rsidRDefault="00C85974" w:rsidP="00C85974">
            <w:pPr>
              <w:pStyle w:val="FooterText"/>
              <w:pBdr>
                <w:bottom w:val="single" w:sz="24" w:space="1" w:color="2C4491"/>
              </w:pBdr>
              <w:spacing w:line="276" w:lineRule="auto"/>
              <w:rPr>
                <w:rFonts w:ascii="Calibri" w:hAnsi="Calibri" w:cs="Calibri"/>
                <w:b/>
                <w:color w:val="2C4491"/>
                <w:spacing w:val="200"/>
                <w:sz w:val="28"/>
                <w:szCs w:val="28"/>
                <w:lang w:val="ro-RO"/>
              </w:rPr>
            </w:pPr>
            <w:r w:rsidRPr="006B0DAC">
              <w:rPr>
                <w:rFonts w:ascii="Calibri" w:hAnsi="Calibri" w:cs="Calibri"/>
                <w:b/>
                <w:iCs/>
                <w:color w:val="0070C0"/>
                <w:szCs w:val="28"/>
                <w:lang w:val="ro-RO"/>
              </w:rPr>
              <w:t>OFICIUL NAŢIONAL DE PREVENIRE ŞI COMBATERE A SPĂLĂRII BANILOR</w:t>
            </w:r>
          </w:p>
        </w:tc>
      </w:tr>
      <w:tr w:rsidR="00C85974" w:rsidRPr="00E0771D" w:rsidTr="00AA3E8E">
        <w:tc>
          <w:tcPr>
            <w:tcW w:w="5000" w:type="pct"/>
            <w:gridSpan w:val="2"/>
            <w:shd w:val="clear" w:color="auto" w:fill="auto"/>
          </w:tcPr>
          <w:p w:rsidR="00C85974" w:rsidRPr="00E739E8" w:rsidRDefault="00C85974" w:rsidP="00C85974">
            <w:pPr>
              <w:pStyle w:val="FooterAddressText"/>
              <w:jc w:val="both"/>
              <w:rPr>
                <w:rFonts w:ascii="Calibri" w:hAnsi="Calibri" w:cs="Calibri"/>
                <w:b/>
                <w:sz w:val="22"/>
                <w:szCs w:val="22"/>
                <w:lang w:val="ro-RO"/>
              </w:rPr>
            </w:pPr>
            <w:r>
              <w:rPr>
                <w:rFonts w:ascii="Calibri" w:hAnsi="Calibri" w:cs="Calibri"/>
                <w:b/>
                <w:sz w:val="22"/>
                <w:szCs w:val="22"/>
                <w:lang w:val="ro-RO"/>
              </w:rPr>
              <w:t>BIROUL DE PRESA</w:t>
            </w:r>
          </w:p>
          <w:p w:rsidR="00C85974" w:rsidRPr="009444FA" w:rsidRDefault="00C85974" w:rsidP="00C85974">
            <w:pPr>
              <w:pStyle w:val="FooterAddressText"/>
              <w:jc w:val="both"/>
              <w:rPr>
                <w:rFonts w:ascii="Calibri" w:hAnsi="Calibri" w:cs="Calibri"/>
                <w:sz w:val="22"/>
                <w:szCs w:val="22"/>
                <w:lang w:val="ro-RO"/>
              </w:rPr>
            </w:pPr>
            <w:r w:rsidRPr="009444FA">
              <w:rPr>
                <w:rFonts w:ascii="Calibri" w:hAnsi="Calibri" w:cs="Calibri"/>
                <w:sz w:val="22"/>
                <w:szCs w:val="22"/>
                <w:lang w:val="ro-RO"/>
              </w:rPr>
              <w:t xml:space="preserve">Str. General Ion Florescu nr. 1, Sector 3, Bucureşti  </w:t>
            </w:r>
          </w:p>
          <w:p w:rsidR="00C85974" w:rsidRPr="009444FA" w:rsidRDefault="00C85974" w:rsidP="00C85974">
            <w:pPr>
              <w:pStyle w:val="FooterAddressText"/>
              <w:jc w:val="both"/>
              <w:rPr>
                <w:rFonts w:ascii="Calibri" w:hAnsi="Calibri" w:cs="Calibri"/>
                <w:sz w:val="22"/>
                <w:szCs w:val="22"/>
                <w:lang w:val="ro-RO"/>
              </w:rPr>
            </w:pPr>
            <w:r w:rsidRPr="009444FA">
              <w:rPr>
                <w:rFonts w:ascii="Calibri" w:hAnsi="Calibri" w:cs="Calibri"/>
                <w:sz w:val="22"/>
                <w:szCs w:val="22"/>
                <w:lang w:val="ro-RO"/>
              </w:rPr>
              <w:t xml:space="preserve">Tel.: (+4)021 /314.44.47  Fax: (+4)021 315.52.27, </w:t>
            </w:r>
          </w:p>
        </w:tc>
      </w:tr>
      <w:tr w:rsidR="00C85974" w:rsidRPr="00C85974" w:rsidTr="00AA3E8E">
        <w:tc>
          <w:tcPr>
            <w:tcW w:w="5000" w:type="pct"/>
            <w:gridSpan w:val="2"/>
            <w:shd w:val="clear" w:color="auto" w:fill="auto"/>
          </w:tcPr>
          <w:p w:rsidR="00C85974" w:rsidRPr="009444FA" w:rsidRDefault="00C85974" w:rsidP="00C85974">
            <w:pPr>
              <w:pStyle w:val="FooterText"/>
              <w:rPr>
                <w:rFonts w:ascii="Calibri" w:hAnsi="Calibri" w:cs="Calibri"/>
                <w:sz w:val="22"/>
                <w:lang w:val="ro-RO"/>
              </w:rPr>
            </w:pPr>
            <w:hyperlink r:id="rId10" w:history="1">
              <w:r w:rsidRPr="00340BE1">
                <w:rPr>
                  <w:rStyle w:val="Hyperlink"/>
                  <w:rFonts w:ascii="Calibri" w:hAnsi="Calibri" w:cs="Calibri"/>
                  <w:sz w:val="22"/>
                  <w:szCs w:val="22"/>
                  <w:lang w:val="ro-RO"/>
                </w:rPr>
                <w:t>onpcsb@onpcsb.ro</w:t>
              </w:r>
            </w:hyperlink>
            <w:r w:rsidRPr="009444FA">
              <w:rPr>
                <w:rFonts w:ascii="Calibri" w:hAnsi="Calibri" w:cs="Calibri"/>
                <w:sz w:val="22"/>
                <w:szCs w:val="22"/>
                <w:lang w:val="ro-RO"/>
              </w:rPr>
              <w:t xml:space="preserve">  </w:t>
            </w:r>
            <w:hyperlink r:id="rId11" w:history="1">
              <w:r w:rsidRPr="00F149C1">
                <w:rPr>
                  <w:rStyle w:val="Hyperlink"/>
                  <w:rFonts w:ascii="Calibri" w:hAnsi="Calibri" w:cs="Calibri"/>
                  <w:sz w:val="22"/>
                  <w:szCs w:val="22"/>
                  <w:lang w:val="ro-RO"/>
                </w:rPr>
                <w:t>rel1-eu@onpcsb.ro</w:t>
              </w:r>
            </w:hyperlink>
            <w:r>
              <w:rPr>
                <w:rFonts w:ascii="Calibri" w:hAnsi="Calibri" w:cs="Calibri"/>
                <w:sz w:val="22"/>
                <w:szCs w:val="22"/>
                <w:lang w:val="ro-RO"/>
              </w:rPr>
              <w:t xml:space="preserve"> </w:t>
            </w:r>
          </w:p>
        </w:tc>
      </w:tr>
    </w:tbl>
    <w:p w:rsidR="002916F0" w:rsidRPr="002916F0" w:rsidRDefault="002916F0">
      <w:pPr>
        <w:rPr>
          <w:rFonts w:ascii="Century Gothic" w:hAnsi="Century Gothic"/>
          <w:sz w:val="26"/>
          <w:szCs w:val="26"/>
          <w:lang w:val="ro-RO"/>
        </w:rPr>
      </w:pPr>
      <w:bookmarkStart w:id="0" w:name="_GoBack"/>
      <w:bookmarkEnd w:id="0"/>
    </w:p>
    <w:sectPr w:rsidR="002916F0" w:rsidRPr="002916F0" w:rsidSect="00C04560">
      <w:headerReference w:type="default" r:id="rId12"/>
      <w:footerReference w:type="even" r:id="rId13"/>
      <w:footerReference w:type="default" r:id="rId14"/>
      <w:headerReference w:type="first" r:id="rId15"/>
      <w:footerReference w:type="first" r:id="rId16"/>
      <w:pgSz w:w="12240" w:h="15840"/>
      <w:pgMar w:top="630" w:right="1170" w:bottom="719" w:left="1170" w:header="288" w:footer="47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EA" w:rsidRDefault="00A911EA" w:rsidP="00065CD4">
      <w:r>
        <w:separator/>
      </w:r>
    </w:p>
  </w:endnote>
  <w:endnote w:type="continuationSeparator" w:id="0">
    <w:p w:rsidR="00A911EA" w:rsidRDefault="00A911EA" w:rsidP="0006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F" w:rsidRDefault="00F92931">
    <w:pPr>
      <w:pStyle w:val="Footer"/>
      <w:framePr w:wrap="around" w:vAnchor="text" w:hAnchor="margin" w:xAlign="center" w:y="1"/>
      <w:rPr>
        <w:rStyle w:val="PageNumber"/>
      </w:rPr>
    </w:pPr>
    <w:r>
      <w:rPr>
        <w:rStyle w:val="PageNumber"/>
      </w:rPr>
      <w:fldChar w:fldCharType="begin"/>
    </w:r>
    <w:r w:rsidR="00470790">
      <w:rPr>
        <w:rStyle w:val="PageNumber"/>
      </w:rPr>
      <w:instrText xml:space="preserve">PAGE  </w:instrText>
    </w:r>
    <w:r>
      <w:rPr>
        <w:rStyle w:val="PageNumber"/>
      </w:rPr>
      <w:fldChar w:fldCharType="separate"/>
    </w:r>
    <w:r w:rsidR="00470790">
      <w:rPr>
        <w:rStyle w:val="PageNumber"/>
        <w:noProof/>
      </w:rPr>
      <w:t>1</w:t>
    </w:r>
    <w:r>
      <w:rPr>
        <w:rStyle w:val="PageNumber"/>
      </w:rPr>
      <w:fldChar w:fldCharType="end"/>
    </w:r>
  </w:p>
  <w:p w:rsidR="00EE6E6F" w:rsidRDefault="00A911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F" w:rsidRPr="00FA310B" w:rsidRDefault="00A911EA" w:rsidP="00DF4942">
    <w:pPr>
      <w:pStyle w:val="Footer"/>
      <w:jc w:val="right"/>
      <w:rPr>
        <w:rFonts w:ascii="Calibri" w:hAnsi="Calibr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F" w:rsidRPr="006E607E" w:rsidRDefault="00470790" w:rsidP="00332853">
    <w:pPr>
      <w:pStyle w:val="Footer"/>
      <w:jc w:val="both"/>
      <w:rPr>
        <w:lang w:val="en-US"/>
      </w:rPr>
    </w:pPr>
    <w:r>
      <w:rPr>
        <w:lang w:val="en-US"/>
      </w:rPr>
      <w:tab/>
    </w:r>
    <w:proofErr w:type="spellStart"/>
    <w:r>
      <w:rPr>
        <w:lang w:val="en-US"/>
      </w:rPr>
      <w:t>Nesecret</w:t>
    </w:r>
    <w:proofErr w:type="spellEnd"/>
    <w:r>
      <w:rPr>
        <w:lang w:val="en-US"/>
      </w:rPr>
      <w:tab/>
      <w: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EA" w:rsidRDefault="00A911EA" w:rsidP="00065CD4">
      <w:r>
        <w:separator/>
      </w:r>
    </w:p>
  </w:footnote>
  <w:footnote w:type="continuationSeparator" w:id="0">
    <w:p w:rsidR="00A911EA" w:rsidRDefault="00A911EA" w:rsidP="00065CD4">
      <w:r>
        <w:continuationSeparator/>
      </w:r>
    </w:p>
  </w:footnote>
  <w:footnote w:id="1">
    <w:p w:rsidR="00200480" w:rsidRPr="00205FC9" w:rsidRDefault="00200480" w:rsidP="00200480">
      <w:pPr>
        <w:pStyle w:val="FootnoteText"/>
        <w:jc w:val="both"/>
        <w:rPr>
          <w:rFonts w:asciiTheme="minorHAnsi" w:hAnsiTheme="minorHAnsi" w:cs="Calibri"/>
          <w:lang w:val="ro-RO"/>
        </w:rPr>
      </w:pPr>
      <w:r w:rsidRPr="00205FC9">
        <w:rPr>
          <w:rStyle w:val="FootnoteReference"/>
          <w:rFonts w:asciiTheme="minorHAnsi" w:hAnsiTheme="minorHAnsi" w:cs="Calibri"/>
        </w:rPr>
        <w:footnoteRef/>
      </w:r>
      <w:r w:rsidRPr="00205FC9">
        <w:rPr>
          <w:rFonts w:asciiTheme="minorHAnsi" w:hAnsiTheme="minorHAnsi" w:cs="Calibri"/>
          <w:lang w:val="ro-RO"/>
        </w:rPr>
        <w:t xml:space="preserve"> de modificare a Directivei (UE) 2015/849 privind prevenirea utilizării sistemului financiar în scopul spălării banilor sau finanțării terorismului, precum și de modificare a Directivelor 2009/138/CE și 2013/36/UE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F" w:rsidRPr="00457A24" w:rsidRDefault="00470790" w:rsidP="0002019F">
    <w:pPr>
      <w:pStyle w:val="Header"/>
      <w:jc w:val="right"/>
      <w:rPr>
        <w:rFonts w:ascii="Calibri" w:hAnsi="Calibri"/>
        <w:sz w:val="20"/>
        <w:szCs w:val="20"/>
      </w:rPr>
    </w:pPr>
    <w:r>
      <w:rPr>
        <w:rFonts w:ascii="Calibri" w:hAnsi="Calibri"/>
        <w:sz w:val="20"/>
        <w:szCs w:val="20"/>
      </w:rPr>
      <w:t>Nesecret</w:t>
    </w:r>
    <w:r w:rsidR="00065CD4">
      <w:rPr>
        <w:rFonts w:ascii="Calibri" w:hAnsi="Calibri"/>
        <w:sz w:val="20"/>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F" w:rsidRDefault="00470790" w:rsidP="006E607E">
    <w:pPr>
      <w:pStyle w:val="Header"/>
      <w:jc w:val="right"/>
      <w:rPr>
        <w:lang w:val="en-US"/>
      </w:rPr>
    </w:pPr>
    <w:proofErr w:type="spellStart"/>
    <w:r>
      <w:rPr>
        <w:lang w:val="en-US"/>
      </w:rPr>
      <w:t>Nesecret</w:t>
    </w:r>
    <w:proofErr w:type="spellEnd"/>
  </w:p>
  <w:p w:rsidR="00EE6E6F" w:rsidRPr="006E607E" w:rsidRDefault="00470790" w:rsidP="006E607E">
    <w:pPr>
      <w:pStyle w:val="Header"/>
      <w:jc w:val="right"/>
      <w:rPr>
        <w:lang w:val="en-US"/>
      </w:rPr>
    </w:pPr>
    <w:r>
      <w:rPr>
        <w:lang w:val="en-US"/>
      </w:rPr>
      <w:t>Exemplar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D4"/>
    <w:rsid w:val="00021214"/>
    <w:rsid w:val="000230EF"/>
    <w:rsid w:val="000275B4"/>
    <w:rsid w:val="00065CD4"/>
    <w:rsid w:val="00094A9D"/>
    <w:rsid w:val="00127A93"/>
    <w:rsid w:val="00135324"/>
    <w:rsid w:val="00136B12"/>
    <w:rsid w:val="00152E6F"/>
    <w:rsid w:val="001B4B5A"/>
    <w:rsid w:val="00200480"/>
    <w:rsid w:val="00235DF5"/>
    <w:rsid w:val="002669B0"/>
    <w:rsid w:val="002916F0"/>
    <w:rsid w:val="002F49AB"/>
    <w:rsid w:val="00315A06"/>
    <w:rsid w:val="003C4B4C"/>
    <w:rsid w:val="004225E5"/>
    <w:rsid w:val="004237E3"/>
    <w:rsid w:val="00437A94"/>
    <w:rsid w:val="00470790"/>
    <w:rsid w:val="00486F6D"/>
    <w:rsid w:val="00501A4E"/>
    <w:rsid w:val="00521D43"/>
    <w:rsid w:val="00524766"/>
    <w:rsid w:val="0052638F"/>
    <w:rsid w:val="00530101"/>
    <w:rsid w:val="005657B4"/>
    <w:rsid w:val="00582AE5"/>
    <w:rsid w:val="005C08C1"/>
    <w:rsid w:val="005E3F26"/>
    <w:rsid w:val="00602F9A"/>
    <w:rsid w:val="006354EC"/>
    <w:rsid w:val="006432D7"/>
    <w:rsid w:val="00657FBA"/>
    <w:rsid w:val="006C09AB"/>
    <w:rsid w:val="00723F5D"/>
    <w:rsid w:val="0073327E"/>
    <w:rsid w:val="0084707E"/>
    <w:rsid w:val="00883813"/>
    <w:rsid w:val="009635E2"/>
    <w:rsid w:val="009D32C1"/>
    <w:rsid w:val="009F2B77"/>
    <w:rsid w:val="00A12ABF"/>
    <w:rsid w:val="00A24315"/>
    <w:rsid w:val="00A572BA"/>
    <w:rsid w:val="00A911EA"/>
    <w:rsid w:val="00AA3E8E"/>
    <w:rsid w:val="00AF198F"/>
    <w:rsid w:val="00AF440E"/>
    <w:rsid w:val="00B7252A"/>
    <w:rsid w:val="00B92412"/>
    <w:rsid w:val="00BE297A"/>
    <w:rsid w:val="00C04560"/>
    <w:rsid w:val="00C13169"/>
    <w:rsid w:val="00C30B87"/>
    <w:rsid w:val="00C56FA6"/>
    <w:rsid w:val="00C73FAA"/>
    <w:rsid w:val="00C85974"/>
    <w:rsid w:val="00CC5A58"/>
    <w:rsid w:val="00CD66BD"/>
    <w:rsid w:val="00CE4B13"/>
    <w:rsid w:val="00D3161A"/>
    <w:rsid w:val="00E0771D"/>
    <w:rsid w:val="00E300CC"/>
    <w:rsid w:val="00E32427"/>
    <w:rsid w:val="00E87F67"/>
    <w:rsid w:val="00EC55F8"/>
    <w:rsid w:val="00EF0460"/>
    <w:rsid w:val="00F02F27"/>
    <w:rsid w:val="00F649C5"/>
    <w:rsid w:val="00F92931"/>
    <w:rsid w:val="00F941E1"/>
    <w:rsid w:val="00FB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E63A1"/>
  <w15:docId w15:val="{7C338B40-0A41-455C-8FA8-999846A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D4"/>
    <w:pPr>
      <w:jc w:val="left"/>
    </w:pPr>
    <w:rPr>
      <w:rFonts w:ascii="Times New Roman" w:eastAsia="Times New Roman" w:hAnsi="Times New Roman" w:cs="Times New Roman"/>
      <w:sz w:val="28"/>
      <w:szCs w:val="24"/>
      <w:lang w:eastAsia="ro-RO"/>
    </w:rPr>
  </w:style>
  <w:style w:type="paragraph" w:styleId="Heading5">
    <w:name w:val="heading 5"/>
    <w:basedOn w:val="Normal"/>
    <w:next w:val="Normal"/>
    <w:link w:val="Heading5Char"/>
    <w:qFormat/>
    <w:rsid w:val="00065CD4"/>
    <w:pPr>
      <w:keepNext/>
      <w:jc w:val="center"/>
      <w:outlineLvl w:val="4"/>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CD4"/>
    <w:pPr>
      <w:tabs>
        <w:tab w:val="center" w:pos="4320"/>
        <w:tab w:val="right" w:pos="8640"/>
      </w:tabs>
    </w:pPr>
    <w:rPr>
      <w:sz w:val="24"/>
      <w:lang w:val="ro-RO"/>
    </w:rPr>
  </w:style>
  <w:style w:type="character" w:customStyle="1" w:styleId="FooterChar">
    <w:name w:val="Footer Char"/>
    <w:basedOn w:val="DefaultParagraphFont"/>
    <w:link w:val="Footer"/>
    <w:rsid w:val="00065CD4"/>
    <w:rPr>
      <w:rFonts w:ascii="Times New Roman" w:eastAsia="Times New Roman" w:hAnsi="Times New Roman" w:cs="Times New Roman"/>
      <w:sz w:val="24"/>
      <w:szCs w:val="24"/>
      <w:lang w:val="ro-RO" w:eastAsia="ro-RO"/>
    </w:rPr>
  </w:style>
  <w:style w:type="character" w:styleId="PageNumber">
    <w:name w:val="page number"/>
    <w:basedOn w:val="DefaultParagraphFont"/>
    <w:rsid w:val="00065CD4"/>
  </w:style>
  <w:style w:type="paragraph" w:styleId="Header">
    <w:name w:val="header"/>
    <w:basedOn w:val="Normal"/>
    <w:link w:val="HeaderChar"/>
    <w:rsid w:val="00065CD4"/>
    <w:pPr>
      <w:tabs>
        <w:tab w:val="center" w:pos="4536"/>
        <w:tab w:val="right" w:pos="9072"/>
      </w:tabs>
    </w:pPr>
    <w:rPr>
      <w:sz w:val="24"/>
      <w:lang w:val="ro-RO"/>
    </w:rPr>
  </w:style>
  <w:style w:type="character" w:customStyle="1" w:styleId="HeaderChar">
    <w:name w:val="Header Char"/>
    <w:basedOn w:val="DefaultParagraphFont"/>
    <w:link w:val="Header"/>
    <w:rsid w:val="00065CD4"/>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065CD4"/>
    <w:rPr>
      <w:rFonts w:ascii="Tahoma" w:hAnsi="Tahoma" w:cs="Tahoma"/>
      <w:sz w:val="16"/>
      <w:szCs w:val="16"/>
    </w:rPr>
  </w:style>
  <w:style w:type="character" w:customStyle="1" w:styleId="BalloonTextChar">
    <w:name w:val="Balloon Text Char"/>
    <w:basedOn w:val="DefaultParagraphFont"/>
    <w:link w:val="BalloonText"/>
    <w:uiPriority w:val="99"/>
    <w:semiHidden/>
    <w:rsid w:val="00065CD4"/>
    <w:rPr>
      <w:rFonts w:ascii="Tahoma" w:eastAsia="Times New Roman" w:hAnsi="Tahoma" w:cs="Tahoma"/>
      <w:sz w:val="16"/>
      <w:szCs w:val="16"/>
      <w:lang w:eastAsia="ro-RO"/>
    </w:rPr>
  </w:style>
  <w:style w:type="character" w:customStyle="1" w:styleId="Heading5Char">
    <w:name w:val="Heading 5 Char"/>
    <w:basedOn w:val="DefaultParagraphFont"/>
    <w:link w:val="Heading5"/>
    <w:rsid w:val="00065CD4"/>
    <w:rPr>
      <w:rFonts w:ascii="Times New Roman" w:eastAsia="Times New Roman" w:hAnsi="Times New Roman" w:cs="Times New Roman"/>
      <w:b/>
      <w:bCs/>
      <w:color w:val="FFFFFF"/>
      <w:sz w:val="28"/>
      <w:szCs w:val="24"/>
      <w:lang w:eastAsia="ro-RO"/>
    </w:rPr>
  </w:style>
  <w:style w:type="paragraph" w:styleId="FootnoteText">
    <w:name w:val="footnote text"/>
    <w:aliases w:val="Footnote Text Char2,Footnote Text Char Char1,Footnote Text Char1 Char Char,Footnote Text Char Char Char Char,Footnote Text Char2 Char Char Char Char1,Footnote Text Char1 Char Char Char Char Char,Footnote Text Char1,Footnote Text Char1 Char"/>
    <w:basedOn w:val="Normal"/>
    <w:link w:val="FootnoteTextChar"/>
    <w:uiPriority w:val="99"/>
    <w:rsid w:val="002916F0"/>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 Char Char Char1 Char,Footnote Text Char1 Char Char Char Char Char Char"/>
    <w:basedOn w:val="DefaultParagraphFont"/>
    <w:link w:val="FootnoteText"/>
    <w:uiPriority w:val="99"/>
    <w:rsid w:val="002916F0"/>
    <w:rPr>
      <w:rFonts w:ascii="Times New Roman" w:eastAsia="Times New Roman" w:hAnsi="Times New Roman" w:cs="Times New Roman"/>
      <w:sz w:val="20"/>
      <w:szCs w:val="20"/>
      <w:lang w:eastAsia="ro-RO"/>
    </w:rPr>
  </w:style>
  <w:style w:type="character" w:styleId="FootnoteReference">
    <w:name w:val="footnote reference"/>
    <w:aliases w:val="fr,stylish,BVI fnr,SUPERS,Footnote Reference Superscript,Footnote symbol,Footnote symboFußnotenzeichen,Footnote sign,Footnote Reference text,Footnote,Footnote Reference/,footnote ref,FR,Fußnotenzeichen diss neu,Times 10 Point,callout"/>
    <w:uiPriority w:val="99"/>
    <w:rsid w:val="002916F0"/>
    <w:rPr>
      <w:vertAlign w:val="superscript"/>
    </w:rPr>
  </w:style>
  <w:style w:type="paragraph" w:styleId="BodyTextIndent2">
    <w:name w:val="Body Text Indent 2"/>
    <w:basedOn w:val="Normal"/>
    <w:link w:val="BodyTextIndent2Char"/>
    <w:semiHidden/>
    <w:rsid w:val="00AA3E8E"/>
    <w:pPr>
      <w:ind w:firstLine="708"/>
      <w:jc w:val="both"/>
    </w:pPr>
    <w:rPr>
      <w:lang w:val="ro-RO"/>
    </w:rPr>
  </w:style>
  <w:style w:type="character" w:customStyle="1" w:styleId="BodyTextIndent2Char">
    <w:name w:val="Body Text Indent 2 Char"/>
    <w:basedOn w:val="DefaultParagraphFont"/>
    <w:link w:val="BodyTextIndent2"/>
    <w:semiHidden/>
    <w:rsid w:val="00AA3E8E"/>
    <w:rPr>
      <w:rFonts w:ascii="Times New Roman" w:eastAsia="Times New Roman" w:hAnsi="Times New Roman" w:cs="Times New Roman"/>
      <w:sz w:val="28"/>
      <w:szCs w:val="24"/>
      <w:lang w:val="ro-RO" w:eastAsia="ro-RO"/>
    </w:rPr>
  </w:style>
  <w:style w:type="character" w:styleId="Hyperlink">
    <w:name w:val="Hyperlink"/>
    <w:basedOn w:val="DefaultParagraphFont"/>
    <w:semiHidden/>
    <w:rsid w:val="00AA3E8E"/>
    <w:rPr>
      <w:color w:val="0000FF"/>
      <w:u w:val="single"/>
    </w:rPr>
  </w:style>
  <w:style w:type="paragraph" w:customStyle="1" w:styleId="FooterText">
    <w:name w:val="Footer Text"/>
    <w:basedOn w:val="Normal"/>
    <w:rsid w:val="00AA3E8E"/>
    <w:rPr>
      <w:sz w:val="24"/>
      <w:lang w:val="en-GB" w:eastAsia="en-US"/>
    </w:rPr>
  </w:style>
  <w:style w:type="paragraph" w:customStyle="1" w:styleId="FooterAddressText">
    <w:name w:val="Footer Address Text"/>
    <w:basedOn w:val="FooterText"/>
    <w:qFormat/>
    <w:rsid w:val="00AA3E8E"/>
    <w:pPr>
      <w:jc w:val="center"/>
    </w:pPr>
    <w:rPr>
      <w:spacing w:val="10"/>
      <w:sz w:val="16"/>
      <w:szCs w:val="16"/>
    </w:rPr>
  </w:style>
  <w:style w:type="paragraph" w:styleId="BodyText">
    <w:name w:val="Body Text"/>
    <w:basedOn w:val="Normal"/>
    <w:link w:val="BodyTextChar"/>
    <w:uiPriority w:val="99"/>
    <w:semiHidden/>
    <w:unhideWhenUsed/>
    <w:rsid w:val="00582AE5"/>
    <w:pPr>
      <w:spacing w:after="120"/>
    </w:pPr>
  </w:style>
  <w:style w:type="character" w:customStyle="1" w:styleId="BodyTextChar">
    <w:name w:val="Body Text Char"/>
    <w:basedOn w:val="DefaultParagraphFont"/>
    <w:link w:val="BodyText"/>
    <w:uiPriority w:val="99"/>
    <w:semiHidden/>
    <w:rsid w:val="00582AE5"/>
    <w:rPr>
      <w:rFonts w:ascii="Times New Roman" w:eastAsia="Times New Roman" w:hAnsi="Times New Roman" w:cs="Times New Roman"/>
      <w:sz w:val="28"/>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pcsb.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npcsb@onpcsb.ro"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el1-eu@onpcsb.ro"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onpcsb@onpcsb.ro" TargetMode="External"/><Relationship Id="rId4" Type="http://schemas.openxmlformats.org/officeDocument/2006/relationships/footnotes" Target="footnotes.xml"/><Relationship Id="rId9" Type="http://schemas.openxmlformats.org/officeDocument/2006/relationships/hyperlink" Target="http://www.cdep.ro/pls/steno/evot2015.Nominal?idv=2787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onpcsb</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Lica-Banu</dc:creator>
  <cp:keywords/>
  <dc:description/>
  <cp:lastModifiedBy>Steluta Oncica</cp:lastModifiedBy>
  <cp:revision>14</cp:revision>
  <cp:lastPrinted>2021-04-01T06:09:00Z</cp:lastPrinted>
  <dcterms:created xsi:type="dcterms:W3CDTF">2021-04-01T05:52:00Z</dcterms:created>
  <dcterms:modified xsi:type="dcterms:W3CDTF">2021-04-01T06:25:00Z</dcterms:modified>
</cp:coreProperties>
</file>